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2012/123 vom 31. Juli 2013</w:t>
      </w:r>
    </w:p>
    <w:p>
      <w:r>
        <w:t>Sg Versicherungsgericht, 2013-07-31, DE</w:t>
      </w:r>
    </w:p>
    <w:p>
      <w:r>
        <w:rPr>
          <w:b/>
        </w:rPr>
        <w:t xml:space="preserve">Quelle: </w:t>
      </w:r>
      <w:r>
        <w:t>https://mcp.opencaselaw.ch/entscheid/sg_publikationen_IV 2012_123</w:t>
      </w:r>
    </w:p>
    <w:p>
      <w:r>
        <w:t>FR: SG_VERSICHERUNGSGERICHT IV 2012/123 du 31 juillet 2013</w:t>
      </w:r>
    </w:p>
    <w:p>
      <w:r>
        <w:t>IT: SG_VERSICHERUNGSGERICHT IV 2012/123 del 31 luglio 2013</w:t>
      </w:r>
    </w:p>
    <w:p>
      <w:pPr>
        <w:pStyle w:val="Heading2"/>
      </w:pPr>
      <w:r>
        <w:t>Regeste</w:t>
      </w:r>
    </w:p>
    <w:p>
      <w:r>
        <w:t>Art. 28 IVG. Rentenanspruch. Gemischte Methode. Beweiskraft Gutachten. Höhe Tabellenlohnabzug (Entscheid des Versicherungsgerichts des Kantons St. Gallen vom 31. Juli 2013, IV 2012/123). Bestätigt durch Urteil des Bundesgerichts 8C_670/2013.</w:t>
      </w:r>
    </w:p>
    <w:p>
      <w:pPr>
        <w:pStyle w:val="Heading2"/>
      </w:pPr>
      <w:r>
        <w:t>Erwägungen</w:t>
      </w:r>
    </w:p>
    <w:p>
      <w:r>
        <w:rPr>
          <w:b/>
        </w:rPr>
        <w:t>E. 1</w:t>
      </w:r>
    </w:p>
    <w:p>
      <w:r>
        <w:t>In formeller Hinsicht ist zunächst die Gehörsrüge der Beschwerdeführerin (vgl. hierzu act. G 1) zu prüfen. 1.1  Die Beschwerdeführerin rügt, ihr Anspruch auf rechtliches Gehör sei verletzt worden, da sich die Beschwerdegegnerin in der angefochtenen Verfügung nicht mit der vorgebrachten Kritik an der Haushaltsabklärung und am Gutachten auseinandergesetzt habe (act. G 1, S. 8). 1.2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Mit Erlass von Art. 57a des Bundesgesetzes über die Invalidenversicherung (IVG; SR 831.20), worin in der Invalidenversicherung das Vorbescheidverfahren wieder eingeführt wurde, sind an die Begründungsdichte von Verfügungen, die nach Durchführung eines Vorbescheidverfahrens gemäss Art. 57a IVG ergehen, erhöhte Anforderungen zu stellen (vgl. hierzu eingehend Urteil des Sozialversicherungsgerichts des Kantons Zürich vom 30. Mai 2007, IV.2007.00436, E. 1.8 ff.). Eine – nicht besonders schwerwiegende –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 1.3  Die Beschwerdeführerin hat im Einwand vom 5. September 2011 u.a. Kritik an den Ergebnissen der Haushaltsabklärung vom 9. März 2010 (zum Bericht vom 11. Mai 2010 vgl. act. G 4.45) und am Gutachten vorgetragen (act. G 4.59). 1.4  Entgegen der Darstellung der Beschwerdeführerin hat sich die Beschwerdegegnerin - wenn auch knapp - mit der einwandweise vorgebrachten Kritik auseinandergesetzt. Sie führte in der angefochtenen Verfügung Folgendes aus: "Anlässlich der Haushaltsabklärung werden die von Ihnen geschilderten subjektiven Schilderungen der Einschränkungen im Bericht erwähnt. Das ist aber nicht mit einer Anerkennung der Einschränkungen durch die IV gleichzusetzen. Es ist den Familienangehörigen zumutbar, dass sie die Mutter und Ehefrau im Rahmen der Schadenminderungspflicht unterstützen". Des Weiteren setzte sie sich mit der Beweiskraft des Gutachtens und der Einschätzungen der behandelnden Ärzte auseinander (act. G 4.61-2). Auch wenn die Verfügungsbegründung kurz gefasst ist und auf die einzelnen Vorbringen der Beschwerdeführerin nicht detailliert eingegangen wird, wurde damit der Begründungspflicht - wenn auch knapp - entsprochen. Eine Verletzung des Anspruchs der Beschwerdeführerin auf rechtliches Gehör ist daher zu verneinen.</w:t>
      </w:r>
    </w:p>
    <w:p>
      <w:r>
        <w:rPr>
          <w:b/>
        </w:rPr>
        <w:t>E. 2</w:t>
      </w:r>
    </w:p>
    <w:p>
      <w:r>
        <w:t>Zwischen den Parteien materiell umstritten und nachfolgend zu prüfen ist der Rentenanspruch der Beschwerdeführerin. 2.1  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3</w:t>
      </w:r>
    </w:p>
    <w:p>
      <w:r>
        <w:t>Zunächst ist zu klären, ob der Sachverhalt in medizinischer Hinsicht rechtsgenüglich abgeklärt ist. Die Beschwerdegegnerin stellte bei ihrer Rentenabweisung auf das Gutachten von Dr. H.___ vom 7. Februar 2011 ab (act. G 4.52). Die Beschwerdeführerin hält diese medizinische Beurteilung für nicht beweiskräftig (act. G 1). 3.1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 in BGE 137 V 210 definierten Anforderungen an die Einholung von MEDAS-Gutachten durch die Invalidenversicherung gelten grundsätzlich auch in laufenden Verfahren. Das vorliegende Gutachten wurde bereits vor diesem (am 28. Juni 2011 ergangenen) Urteil am 7. Februar 2011 erstellt; die Mitwirkungsrechte der versicherten Person nach neuer Rechtsprechung (vgl. BGE 137 V 256 ff. E. 3.4.2.6 und E. 3.4.2.9) konnten demnach noch nicht zum Tragen kommen. Dieser Umstand führt indes nicht zwangsläufig zu einer neuen Begutachtung. Es wäre nicht verhältnismässig, wenn nach den alten Regeln eingeholte Gutachten ungeachtet ihrer jeweiligen Überzeugungskraft den Beweiswert einbüssten (BGE 137 V 266 E. 6). Allerdings ist dem Umstand, dass ein nach altem Standard in Auftrag gegebenes Gutachten eine massgebende Entscheidungsgrundlage bildet, unter Umständen bei der Beweiswürdigung Rechnung zu tragen. In dieser speziellen Übergangssituation lässt sich die beweisrechtliche Situation der ver­sicherten Person mit derjenigen bei versicherungsinternen medizinischen Entscheidungsgrundlagen vergleichen. In solchen Fällen genügen schon relativ geringe Zweifel an der Zuverlässigkeit und Schlüssigkeit der ärztlichen Feststellungen, um eine (neue) Begutachtung anzuordnen (Urteil des Bundesgerichts vom 17. September 2012, 9C_148/2012, E. 1.3 f. mit Hinweisen). 3.2  Zunächst wendet die Beschwerdeführerin gegen das Gutachten ein, der Experte habe die Frage nach der Arbeitsfähigkeit nicht aufgrund eigener Beurteilung, sondern aufgrund des Resultats der (unbrauchbaren) Haushaltsabklärung beantwortet (act. G 1, S. 7). Der Gutachter habe nur deshalb auf eine Arbeitsfähigkeit von 66% geschlossen, weil er zwischen der Auffassung von Dr. D.___ und dem fehlerhaften Haushaltsbericht eine vermittelnde Stellung habe einnehmen wollen (act. G 13, S. 2 f.). Dieser Sichtweise kann nicht gefolgt werden. Das Gutachten stützt sich namentlich auf eine eingehende Anamneseerhebung und eigene umfassende, u.a. auch bildgebende (vgl. zur MRT-HWS vom 28. Januar 2011 sowie zu den weiteren gesichteten Röntgenbildern act. G 4.52-4 und -5), Abklärungen. Die Beurteilung der Arbeitsfähigkeit beruht auf plausiblen Erwägungen des Gutachters. Dass er sich dabei in sachlich nicht gerechtfertigter Weise von den Ergebnissen der Haushaltsabklärung leiten liess, ist nicht ersichtlich. Damit geht einher, dass sich der Gutachter nicht bei der Einschätzung der Arbeitsfähigkeit zu den Ergebnissen der Haushaltsabklärung äussert, sondern erst nach deren Vornahme im Rahmen der Begründung seiner davon abweichenden Beurteilung (act. G 4.52-6). 3.3  Die Beschwerdeführerin hält die gutachterlichen Aussagen, wonach sie zu 67% "mehrheitlich im Sitzen" arbeiten könne bzw. "auch im Sitzen … für die Knie das Ver­harren in der gleichen Stellung ungünstig" sei, für widersprüchlich (act. G 1, S. 7). Vorab ist darauf hinzuweisen, dass der Gutachter betreffend die Anforderung des mehrheit­lichen Sitzens anfügte, dass "zwischendurch auch Positionswechsel möglich" sein sollten, womit er gerade der späteren Aussage Rechnung getragen hat, dass "das Ver­harren in gleicher Stellung" auch im Sitzen ungünstig sei (act. G 4.52-6). Ein Mangel an der gutachterlichen Begründung ist daher nicht ersichtlich. Dies umso weniger, als auch Dr. G.___ im Bericht vom 27. Mai 2010 rein "sitzende" und wechselbelastende Tätigkeiten für zumutbar hielt (act. G 4.46). 3.4  Schliesslich sieht die Beschwerdeführerin die Beweiskraft des Gutachtens durch die davon abweichenden Beurteilungen der behandelnden Ärzte erschüttert, mit denen sich der Gutachter nicht auseinandergesetzt habe (act. G 1, S. 8, und act. G 13, S. 3). 3.4.1 Dr. E.___ bescheinigte im Bericht vom 8. Dezember 2009 - von dem der Gutachter Kenntnis nahm (act. G 4.52-3) - lediglich für die angestammte Tätigkeit eine 50%ige Arbeitsunfähigkeit. Kniebelastende Tätigkeiten sollten vermieden werden. Rein sitzende Tätigkeiten sowie die Rotation im Sitzen/Stehen hielt er ohne Angabe einer quantitativen Einschränkung für zumutbar (act. G 4.31-5). Aus dem Bericht von Dr. E.___ ergeben sich keine objektiven Gesichtspunkte, die der Gutachter bei seiner Einschätzung ausser Acht gelassen hätte. 3.4.2 Aus den kurz begründeten Berichten von Dr. D.___ vom 17. Oktober 2009 (worin leidensangepasste Tätigkeiten während vier Stunden täglich als zumutbar betrachtet wurden, act. G 4.21-5) und vom 4. Juni 2010 (worin leidensangepasste Tätigkeiten während zwei Stunden täglich als zumutbar angesehen wurden, act. G 4.47) ergeben sich keine objektiven Gesichtspunkte, die der Gutachter ausser Acht gelassen hätte. Hinzu kommt, dass es nicht nachvollziehbar ist, wenn Dr. D.___ im Verlaufsbericht vom 4. Juni 2010 für leidensangepasste Tätigkeiten die gleiche Einschränkung bescheinigt wie für die angestammte Reinigungstätigkeit. Ergänzend ist darauf hinzuweisen, dass Dr. D.___ am 2. Juli 2009 noch davon ausgegangen war, es liege kein stabiler Zustand vor, der eine Rente begründen würde (Schreiben vom 2. Juli 2009, act. G 4.37-11). Die Einschätzungen von Dr. D.___ waren dem Gutachter des Weiteren bekannt. Dieser begründete allerdings seine davon abweichende Arbeitsfähigkeitsschätzung nicht (act. G 4.52-6). Dies vermag vorliegend indessen die Beweiskraft des Gutachtens nicht zu erschüttern, waren doch die von Dr. D.___ vor­genommenen Arbeitsfähigkeitsschätzungen weder näher begründet noch stützten sie sich auf Aspekte, die der Gutachter unberücksichtigt gelassen hätte. Einer eigentlichen Auseinandersetzung waren sie deshalb nicht zugänglich. 3.4.3 Was den Bericht von Dr. G.___ vom 27. Mai 2010 anbelangt, so ist mit den Parteien festzustellen, dass die darin enthaltenen Angaben widersprüchlich sind. So gab Dr. G.___ bezogen auf die zuletzt ausgeübte Reinigungstätigkeit an, dass die hierfür bestehende Arbeitsfähigkeit wegen der Gonarthrose ca. 30% betrage (act. G 4.46-3). Die Frage, in welchem Umfang eine behinderungsangepasste Tätigkeit der Beschwerdeführerin zumutbar sei, beantwortete er wie folgt: "Ca. 30% der Tätigkeit sind leistbar, wenn voll belastet werde" (act. G 4.46-4). Bei der detaillierten Beurteilung der Arbeits­fähigkeit für leidensangepasste Tätigkeiten bescheinigte er lediglich hinsichtlich rein stehender Tätigkeiten, vorwiegend im Gehen ausgeübter Tätigkeiten, Tätigkeiten mit Kauern, Knien, auf Leitern/Gerüste sowie Treppen steigen eine eingeschränkte Arbeitsfähigkeit von 30%. Für die übrigen Tätigkeiten wie etwa rein sitzende Tätigkeiten oder wechselbelastende Tätigkeiten bestätigte er keine quantitativen Beeinträchtigungen (act. G 4.46-5). Dem Gericht erscheint es mit der Beschwerdegegnerin (act. G 4) bei näherer Betrachtung des Berichts und im Kontext der darin enthaltenen Ausführung überwiegend wahrscheinlich, dass sich die bescheinigte 30%ige Restarbeitsfähigkeit lediglich auf die zuletzt ausgeübte, kniebelastende Reinigungstätigkeit bezieht. Hierfür spricht einerseits, dass die bescheinigte Arbeitsfähigkeit unter Ziffer 1.7 des Berichts sowohl für die zuletzt ausgeübte wie für eine behinderungsangepasste Tätigkeit mit der exakt gleichen Quantität umschrieben wird und bei der Antwort zur behinderungsangepassten Tätigkeit der Zusatz "wenn voll belastet wird" (act. G 4.46-5) gemacht wurde. Es ist aber nicht nachvollziehbar, weshalb in einer den Knieleiden angepassten Tätigkeit die gleich hohe Arbeitsunfähigkeit bestehen soll wie in einer kniebelastenden Tätigkeit. Dies deutet darauf hin, dass Dr. G.___ die letzte Frage der Ziffer 1.7 - deren Fragen sich abgesehen von der letzten auf die angestammte Tätigkeit beziehen (act. G 4.46-4)- wohl dahingehend missverstand, als er sich auch hier zur zuletzt ausgeübten Tätigkeit äussert. Selbst wenn im Übrigen von einer bestätigten 30%igen Restarbeitsfähigkeit für leidensangepasste Tätigkeiten ausgegangen würde, würde dies keine Zweifel am Gutachten von Dr. H.___ entstehen lassen, da sich aus den Ausführungen von Dr. G.___ keine objektiven Gesichtspunkte ergeben, die Dr. H.___ ausser Acht gelassen hätte. Solche werden denn auch nicht von der Beschwerdeführerin benannt. Zudem handelt es sich bei Dr. G.___ um den für das Venenleiden zuständigen Chirurgen und - entgegen verschiedener Annahmen in den Akten - nicht um einen Orthopäden. Die Varikosis selbst hat jedoch - auch nach Meinung des Hausarztes Dr. D.___ - keinen Einfluss auf die Arbeitsfähigkeit (vgl. act. G 4.47-1). 3.4.4 Zwar hatte Dr. H.___ offenbar keine Kenntnis vom Bericht von Dr. G.___ vom 27. Mai 2010. Zumindest wird dieser Bericht in seinem Gutachten nicht aufgeführt. Mit Blick darauf, dass Dr. H.___ sämtliche übrigen relevanten Akten berücksichtigte (act. G 4.52-3 f.), sich aus dem Bericht von Dr. G.___ keine davon abweichenden objektiven Aspekte ergeben und das Gutachten auf umfassenden eigenen Unter­suchungen gründet, stellt die Unkenntnis des Berichts von Dr. G.___ lediglich einen nicht wesentlichen formellen Mangel dar, der für sich allein keine Zweifel an der gutachterlichen Beurteilung der Arbeitsfähigkeit entstehen lässt, umso mehr als es sich bei Dr. G.___ nicht um einen orthopädischen, sondern um einen auf Gefässchirurgie spezialisierten Facharzt handelt. 3.5  Nach dem Gesagten ist gestützt auf die gutachterliche Beurteilung davon auszu­gehen, dass die Beschwerdeführerin für eine leidensangepasste Tätigkeit über eine aufgerundet 67%ige Restarbeitsfähigkeit verfügt.</w:t>
      </w:r>
    </w:p>
    <w:p>
      <w:r>
        <w:rPr>
          <w:b/>
        </w:rPr>
        <w:t>E. 4</w:t>
      </w:r>
    </w:p>
    <w:p>
      <w:r>
        <w:t>Aus den Akten ergibt sich (act. G 4.45-3) und ist im Übrigen von den Parteien unbestritten, dass die Beschwerdeführerin im Gesundheitsfall weiterhin zu 70% einer Erwerbs­tätigkeit nachgegangen und zu 30% im Haushalt tätig gewesen wäre.</w:t>
      </w:r>
    </w:p>
    <w:p>
      <w:r>
        <w:rPr>
          <w:b/>
        </w:rPr>
        <w:t>E. 5</w:t>
      </w:r>
    </w:p>
    <w:p>
      <w:r>
        <w:t>In einem ersten Schritt ist gestützt auf die gutachterlich bescheinigte Restarbeitsfähigkeit von aufgerundet 67% der Invaliditätsgrad für den Erwerbsbereich zu ermitteln. 5.1  Vorliegend ist zu beachten, dass die Beschwerdegegnerin die vom Bundesgericht praktizierte - vom hiesigen Gericht kritisierte (vgl. etwa Urteil des Versicherungsgerichts des Kantons St. Gallen vom 9. August 2005, IV 2005/21) - sogenannte gemischte Methode zur Invaliditätsbemessung vornahm (vgl. hierzu BGE 131 V 51). Bei deren Anwendung wird zur Bestimmung der Vergleichseinkommen auf dasjenige Erwerbspensum abgestellt, das die versicherte Person im Gesundheitsfall ausüben würde. Im Gegensatz zur Praxis etwa in der Unfallversicherung wird damit nach der bundesgericht­lichen Methode bei teilzeitlich Erwerbstätigen das Valideneinkommen im Bereich der Invalidenversicherung nicht auf ein 100%iges Pensum aufgerechnet, was auch unter dem Blickwinkel des Grundsatzes der Einheitlichkeit der Invaliditätsbemessung (vgl. hierzu BGE 126 V 291 E. 2a) nicht unbedenklich scheint. 5.2  Da sowohl das Valideneinkommen als auch die Grundlage zur Bemessung des Invalideneinkommens nicht bestritten sind und sich aus den Akten auch keine Berechnungsfehler ergeben (vgl. hierzu Feststellungsblatt vom 16. Juni 2011, act. G 4.56), kann an den entsprechenden Beträgen festgehalten werden. Zu korrigieren ist einzig ein offensichtlicher Verschrieb beim Valideneinkommen. Gemäss IK-Auszug betrug das Einkommen der Beschwerdeführerin im Jahr 2008 Fr. 36'568.-- (vgl. act. G 4.14-2). Zu prüfen bleibt die Höhe des Tabellenlohnabzugs. 5.3  Nach der Rechtsprechung hängen die Fragen, ob und in welchem Ausmass Tabellenlöhne herabzusetzen sind, von sämtlichen persönlichen und beruflichen Umständen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und 129 V 481 E. 4.2.3 mit Hinweisen). 5.4  Vor allem mit Blick auf die verbliebene Restarbeitsfähigkeit von 67%, auf das nicht weitgehend eingeschränkte Spektrum an zumutbaren Tätigkeiten (zu den Anforderungen an leidensangepasste Tätigkeiten vgl. act. G 4.52-6) und auf das noch nicht fortgeschrittene Alter der Beschwerdeführerin (geboren 1970, act. G 4.2), erscheint der von der Beschwerdegegnerin gewährte Tabellenlohnabzug von 10% den Umständen angemessen. Zwar fiele auch eine Erhöhung auf 15% in Betracht. Allerdings würde selbst ein 15%iger Tabellenlohnabzug nicht zu einem rentenbegründenden Invaliditätsgrad führen. 5.5  Für den Erwerbsbereich ist daher in Nachachtung der höchstrichterlichen Rechtsprechung zur gemischten Methode unter Verweis auf die von der Beschwerdegegnerin vorgenommene Berechnung (vgl. act. G 4.56-2) sowie in Berücksichtigung des um Fr. 1'000.-- höheren Valideneinkommens und eines max. 15%igen Tabellenlohnabzugs von einem Invaliditätsgrad von aufgerundet max. 20% bzw. von einem an das Pensum gewichteten Invaliditätsgrad von gerundet max. 14% (zu den Rundungsregeln vgl. BGE 130 V 121 ff.) auszugehen.</w:t>
      </w:r>
    </w:p>
    <w:p>
      <w:r>
        <w:rPr>
          <w:b/>
        </w:rPr>
        <w:t>E. 6</w:t>
      </w:r>
    </w:p>
    <w:p>
      <w:r>
        <w:t>In einem zweiten Schritt ist der Invaliditätsgrad im Haushaltsbereich zu bestimmen. Vorliegend erscheint zwar in der Tat fraglich, ob die Beschwerdeführerin selbst unter Einbezug der angerechneten Mithilfe durch die Verwandten lediglich zu 10,49% im Haushalt eingeschränkt ist, da die meisten der im Haushalt zu verrichtenden Tätigkeiten gerichtsnotorisch wohl kaum sitzend erledigt werden können bzw. nicht leidensangepasst sind. Die Frage der exakten Bestimmung kann indessen offen bleiben. Denn selbst wenn zugunsten der Beschwerdeführerin von einer 50%igen Invalidität im Haushaltsbereich ausgegangen würde, resultierte für diesen Bereich ein gewichteter Invaliditätsgrad von höchstens 15% (50% x 30%), der unter Berücksichtigung des für den Erwerbsbereich ermittelten gewichteten Invaliditätsgrads von max. 14% (vgl. vorstehende E. 5.5) zu einem nicht rentenbegründenden Gesamtinvaliditätsgrad von 29% (15% + 14%) führen würde. Damit erweist sich die verfügte Rentenabweisung als richtig.</w:t>
      </w:r>
    </w:p>
    <w:p>
      <w:r>
        <w:rPr>
          <w:b/>
        </w:rPr>
        <w:t>E. 7</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